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D9" w:rsidRDefault="004635D9" w:rsidP="004635D9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4635D9" w:rsidRDefault="004635D9" w:rsidP="004635D9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državljanstvo i statusna pitanja stranaca</w:t>
      </w:r>
    </w:p>
    <w:p w:rsidR="004635D9" w:rsidRPr="00915FE4" w:rsidRDefault="004635D9" w:rsidP="004635D9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upr</w:t>
      </w:r>
      <w:r w:rsidR="006A6DBA">
        <w:rPr>
          <w:rFonts w:ascii="Arial" w:hAnsi="Arial" w:cs="Arial"/>
          <w:b/>
          <w:color w:val="000000"/>
          <w:sz w:val="24"/>
          <w:szCs w:val="24"/>
        </w:rPr>
        <w:t xml:space="preserve">avni referent  za državljanstvo 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strance - vježbenik – 2 izvršitelja </w:t>
      </w:r>
    </w:p>
    <w:p w:rsidR="004635D9" w:rsidRDefault="004635D9" w:rsidP="004635D9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4635D9" w:rsidRPr="00364CA4" w:rsidRDefault="004635D9" w:rsidP="004635D9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bookmarkStart w:id="0" w:name="_GoBack"/>
      <w:r>
        <w:rPr>
          <w:rFonts w:ascii="Arial" w:hAnsi="Arial" w:cs="Arial"/>
          <w:sz w:val="24"/>
          <w:szCs w:val="24"/>
        </w:rPr>
        <w:t>v</w:t>
      </w:r>
      <w:r w:rsidRPr="00364CA4">
        <w:rPr>
          <w:rFonts w:ascii="Arial" w:hAnsi="Arial" w:cs="Arial"/>
          <w:sz w:val="24"/>
          <w:szCs w:val="24"/>
        </w:rPr>
        <w:t>odi upravni postupak i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  <w:bookmarkEnd w:id="0"/>
    </w:p>
    <w:p w:rsidR="004635D9" w:rsidRDefault="004635D9" w:rsidP="004635D9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635D9" w:rsidRPr="00780057" w:rsidRDefault="004635D9" w:rsidP="004635D9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4635D9" w:rsidRDefault="004635D9" w:rsidP="004635D9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E740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110/21.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4635D9" w:rsidRDefault="004635D9" w:rsidP="004635D9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620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strancima (Narodne novine, br. 130/20</w:t>
      </w:r>
      <w:r w:rsidR="00E740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114/22. i 151/22.</w:t>
      </w:r>
      <w:r w:rsidRPr="00D620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 </w:t>
      </w:r>
    </w:p>
    <w:p w:rsidR="004635D9" w:rsidRPr="00655599" w:rsidRDefault="004635D9" w:rsidP="004635D9">
      <w:pPr>
        <w:pStyle w:val="Bezproreda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35D9" w:rsidRPr="004635D9" w:rsidRDefault="004635D9" w:rsidP="004635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5D9" w:rsidRPr="004635D9" w:rsidRDefault="004635D9" w:rsidP="004635D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4635D9" w:rsidRPr="00163418" w:rsidRDefault="004635D9" w:rsidP="00463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4635D9" w:rsidRPr="00E04DFD" w:rsidRDefault="004635D9" w:rsidP="00463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5D9" w:rsidRPr="00E04DFD" w:rsidRDefault="004635D9" w:rsidP="004635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56/22, 127/22-Dodatak I)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4635D9" w:rsidRDefault="004635D9" w:rsidP="00463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5D9" w:rsidRPr="00E04DFD" w:rsidRDefault="004635D9" w:rsidP="004635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4635D9" w:rsidRDefault="004635D9" w:rsidP="00463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5D9" w:rsidRDefault="00E7401F" w:rsidP="004635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01F">
        <w:rPr>
          <w:rFonts w:ascii="Arial" w:hAnsi="Arial" w:cs="Arial"/>
          <w:color w:val="000000"/>
          <w:sz w:val="24"/>
          <w:szCs w:val="24"/>
        </w:rPr>
        <w:t>Vježbenik za vrijeme trajanja vježbeničkog staža ima pravo na 85% plaće poslova radnog mjesta sukladno članku 110. Z</w:t>
      </w:r>
      <w:r>
        <w:rPr>
          <w:rFonts w:ascii="Arial" w:hAnsi="Arial" w:cs="Arial"/>
          <w:color w:val="000000"/>
          <w:sz w:val="24"/>
          <w:szCs w:val="24"/>
        </w:rPr>
        <w:t xml:space="preserve">akona o državnim službenicima i  </w:t>
      </w:r>
      <w:r w:rsidRPr="00E7401F">
        <w:rPr>
          <w:rFonts w:ascii="Arial" w:hAnsi="Arial" w:cs="Arial"/>
          <w:color w:val="000000"/>
          <w:sz w:val="24"/>
          <w:szCs w:val="24"/>
        </w:rPr>
        <w:t>namještenicima (Narodne novine, broj 27/01), a u svezi s člankom 144. stavkom 1. Zakona o državnim službenicima</w:t>
      </w:r>
    </w:p>
    <w:p w:rsidR="006A4DC8" w:rsidRPr="00E7401F" w:rsidRDefault="006A4DC8" w:rsidP="00463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5D9" w:rsidRPr="00E04DFD" w:rsidRDefault="004635D9" w:rsidP="00463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4635D9" w:rsidRPr="00E04DFD" w:rsidRDefault="004635D9" w:rsidP="004635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5D9" w:rsidRPr="00E04DFD" w:rsidRDefault="004635D9" w:rsidP="0046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4635D9" w:rsidRPr="00E04DFD" w:rsidRDefault="004635D9" w:rsidP="0046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5D9" w:rsidRPr="00E04DFD" w:rsidRDefault="004635D9" w:rsidP="004635D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4635D9" w:rsidRDefault="004635D9" w:rsidP="004635D9"/>
    <w:p w:rsidR="00303CD9" w:rsidRDefault="00303CD9"/>
    <w:sectPr w:rsidR="0030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3"/>
    <w:rsid w:val="00303CD9"/>
    <w:rsid w:val="004635D9"/>
    <w:rsid w:val="006A4DC8"/>
    <w:rsid w:val="006A6DBA"/>
    <w:rsid w:val="00913DF3"/>
    <w:rsid w:val="00E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63F"/>
  <w15:chartTrackingRefBased/>
  <w15:docId w15:val="{8FACB8C9-0A6B-4346-9B98-C840D19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635D9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rsid w:val="004635D9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4635D9"/>
    <w:pPr>
      <w:spacing w:after="0" w:line="240" w:lineRule="auto"/>
    </w:pPr>
  </w:style>
  <w:style w:type="character" w:styleId="Hiperveza">
    <w:name w:val="Hyperlink"/>
    <w:uiPriority w:val="99"/>
    <w:unhideWhenUsed/>
    <w:rsid w:val="004635D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4837</Characters>
  <Application>Microsoft Office Word</Application>
  <DocSecurity>0</DocSecurity>
  <Lines>40</Lines>
  <Paragraphs>11</Paragraphs>
  <ScaleCrop>false</ScaleCrop>
  <Company>MUP RH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9</cp:revision>
  <dcterms:created xsi:type="dcterms:W3CDTF">2023-12-20T11:53:00Z</dcterms:created>
  <dcterms:modified xsi:type="dcterms:W3CDTF">2023-12-20T12:30:00Z</dcterms:modified>
</cp:coreProperties>
</file>